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2F4A0F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2F4A0F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C709EA">
        <w:rPr>
          <w:b w:val="0"/>
          <w:sz w:val="24"/>
        </w:rPr>
        <w:t>86MS0026-01-2025-001386-03</w:t>
      </w:r>
    </w:p>
    <w:p w:rsidR="0081383D" w:rsidRPr="00DC0929" w:rsidP="002F4A0F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C709EA">
        <w:rPr>
          <w:b w:val="0"/>
          <w:sz w:val="24"/>
        </w:rPr>
        <w:t>05-0219/2601/2025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3C17BF" w:rsidP="002F4A0F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3C17BF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3C17BF" w:rsidP="002F4A0F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3C17BF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2F4A0F" w:rsidP="002F4A0F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10"/>
          <w:szCs w:val="10"/>
        </w:rPr>
      </w:pPr>
    </w:p>
    <w:p w:rsidR="0081383D" w:rsidRPr="003C17BF" w:rsidP="002F4A0F">
      <w:pPr>
        <w:widowControl w:val="0"/>
        <w:tabs>
          <w:tab w:val="left" w:pos="3615"/>
        </w:tabs>
        <w:spacing w:line="0" w:lineRule="atLeast"/>
        <w:contextualSpacing/>
        <w:jc w:val="right"/>
        <w:rPr>
          <w:color w:val="000000"/>
          <w:sz w:val="26"/>
          <w:szCs w:val="26"/>
        </w:rPr>
      </w:pPr>
      <w:r w:rsidRPr="003C17BF">
        <w:rPr>
          <w:color w:val="000000"/>
          <w:sz w:val="26"/>
          <w:szCs w:val="26"/>
        </w:rPr>
        <w:t xml:space="preserve">город Сургут     </w:t>
      </w:r>
      <w:r w:rsidRPr="003C17BF" w:rsidR="008F4192">
        <w:rPr>
          <w:color w:val="000000"/>
          <w:sz w:val="26"/>
          <w:szCs w:val="26"/>
        </w:rPr>
        <w:t xml:space="preserve">                          </w:t>
      </w:r>
      <w:r w:rsidRPr="003C17BF">
        <w:rPr>
          <w:color w:val="000000"/>
          <w:sz w:val="26"/>
          <w:szCs w:val="26"/>
        </w:rPr>
        <w:t xml:space="preserve">                                   </w:t>
      </w:r>
      <w:r w:rsidRPr="003C17BF" w:rsidR="00C709EA">
        <w:rPr>
          <w:color w:val="000000"/>
          <w:sz w:val="26"/>
          <w:szCs w:val="26"/>
        </w:rPr>
        <w:t xml:space="preserve">                     </w:t>
      </w:r>
      <w:r w:rsidRPr="003C17BF">
        <w:rPr>
          <w:color w:val="000000"/>
          <w:sz w:val="26"/>
          <w:szCs w:val="26"/>
        </w:rPr>
        <w:t xml:space="preserve">  </w:t>
      </w:r>
      <w:r w:rsidRPr="003C17BF" w:rsidR="00C709EA">
        <w:rPr>
          <w:sz w:val="26"/>
          <w:szCs w:val="26"/>
        </w:rPr>
        <w:t>15 февраля 2025</w:t>
      </w:r>
      <w:r w:rsidRPr="003C17BF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2F4A0F" w:rsidP="002F4A0F">
      <w:pPr>
        <w:widowControl w:val="0"/>
        <w:spacing w:line="0" w:lineRule="atLeast"/>
        <w:contextualSpacing/>
        <w:rPr>
          <w:sz w:val="10"/>
          <w:szCs w:val="10"/>
        </w:rPr>
      </w:pPr>
      <w:r w:rsidRPr="003C17BF">
        <w:rPr>
          <w:sz w:val="26"/>
          <w:szCs w:val="26"/>
        </w:rPr>
        <w:t xml:space="preserve">  </w:t>
      </w:r>
    </w:p>
    <w:p w:rsidR="0081383D" w:rsidRPr="003C17BF" w:rsidP="002F4A0F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3C17BF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Pr="003C17BF" w:rsidR="00B55C9A">
        <w:rPr>
          <w:color w:val="000000"/>
          <w:sz w:val="26"/>
          <w:szCs w:val="26"/>
        </w:rPr>
        <w:br/>
      </w:r>
      <w:r w:rsidRPr="003C17BF">
        <w:rPr>
          <w:color w:val="000000"/>
          <w:sz w:val="26"/>
          <w:szCs w:val="26"/>
        </w:rPr>
        <w:t>Панков А.Ю.,</w:t>
      </w:r>
      <w:r w:rsidRPr="003C17BF">
        <w:rPr>
          <w:sz w:val="26"/>
          <w:szCs w:val="26"/>
        </w:rPr>
        <w:t xml:space="preserve"> расположенного по адресу: ХМАО - Югра, г. Сургут,</w:t>
      </w:r>
      <w:r w:rsidRPr="003C17BF" w:rsidR="00C709EA">
        <w:rPr>
          <w:sz w:val="26"/>
          <w:szCs w:val="26"/>
        </w:rPr>
        <w:t xml:space="preserve"> ул. </w:t>
      </w:r>
      <w:r w:rsidRPr="003C17BF">
        <w:rPr>
          <w:sz w:val="26"/>
          <w:szCs w:val="26"/>
        </w:rPr>
        <w:t>Гагарина, д. 9, каб. 504</w:t>
      </w:r>
      <w:r w:rsidRPr="003C17BF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3C17BF" w:rsidR="00C709EA">
        <w:rPr>
          <w:sz w:val="26"/>
          <w:szCs w:val="26"/>
        </w:rPr>
        <w:t xml:space="preserve">Алиева </w:t>
      </w:r>
      <w:r w:rsidR="008E2F01">
        <w:rPr>
          <w:sz w:val="26"/>
          <w:szCs w:val="26"/>
        </w:rPr>
        <w:t>Э.Р.о</w:t>
      </w:r>
      <w:r w:rsidRPr="003C17BF">
        <w:rPr>
          <w:color w:val="000000"/>
          <w:sz w:val="26"/>
          <w:szCs w:val="26"/>
        </w:rPr>
        <w:t xml:space="preserve">, </w:t>
      </w:r>
      <w:r w:rsidRPr="003C17BF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D33C05">
        <w:rPr>
          <w:bCs/>
          <w:sz w:val="26"/>
          <w:szCs w:val="26"/>
        </w:rPr>
        <w:t>частью 2 статьи</w:t>
      </w:r>
      <w:r w:rsidRPr="003C17BF" w:rsidR="00C709EA">
        <w:rPr>
          <w:bCs/>
          <w:sz w:val="26"/>
          <w:szCs w:val="26"/>
        </w:rPr>
        <w:t xml:space="preserve"> 12.26</w:t>
      </w:r>
      <w:r w:rsidRPr="003C17BF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81383D" w:rsidP="002F4A0F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color w:val="000099"/>
          <w:sz w:val="26"/>
          <w:szCs w:val="26"/>
        </w:rPr>
      </w:pPr>
      <w:r w:rsidRPr="003C17BF">
        <w:rPr>
          <w:color w:val="000000"/>
          <w:sz w:val="26"/>
          <w:szCs w:val="26"/>
        </w:rPr>
        <w:t xml:space="preserve">Алиева </w:t>
      </w:r>
      <w:r w:rsidR="008E2F01">
        <w:rPr>
          <w:color w:val="000000"/>
          <w:sz w:val="26"/>
          <w:szCs w:val="26"/>
        </w:rPr>
        <w:t>Э.Р.о</w:t>
      </w:r>
      <w:r w:rsidRPr="003C17BF">
        <w:rPr>
          <w:bCs/>
          <w:sz w:val="26"/>
          <w:szCs w:val="26"/>
        </w:rPr>
        <w:t>,</w:t>
      </w:r>
      <w:r w:rsidRPr="003C17BF" w:rsidR="004674D3">
        <w:rPr>
          <w:bCs/>
          <w:sz w:val="26"/>
          <w:szCs w:val="26"/>
        </w:rPr>
        <w:t xml:space="preserve"> </w:t>
      </w:r>
      <w:r w:rsidR="008E2F01">
        <w:rPr>
          <w:sz w:val="26"/>
          <w:szCs w:val="26"/>
        </w:rPr>
        <w:t>*</w:t>
      </w:r>
      <w:r w:rsidRPr="003C17BF">
        <w:rPr>
          <w:bCs/>
          <w:color w:val="000099"/>
          <w:sz w:val="26"/>
          <w:szCs w:val="26"/>
        </w:rPr>
        <w:t>,</w:t>
      </w:r>
    </w:p>
    <w:p w:rsidR="002F4A0F" w:rsidRPr="002F4A0F" w:rsidP="002F4A0F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81383D" w:rsidP="002F4A0F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3C17BF">
        <w:rPr>
          <w:color w:val="000000"/>
          <w:sz w:val="26"/>
          <w:szCs w:val="26"/>
        </w:rPr>
        <w:t>УСТАНОВИЛ:</w:t>
      </w:r>
    </w:p>
    <w:p w:rsidR="002F4A0F" w:rsidRPr="002F4A0F" w:rsidP="002F4A0F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C709EA" w:rsidRPr="003C17BF" w:rsidP="002F4A0F">
      <w:pPr>
        <w:spacing w:line="0" w:lineRule="atLeast"/>
        <w:ind w:right="22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="00D33C05">
        <w:rPr>
          <w:sz w:val="26"/>
          <w:szCs w:val="26"/>
        </w:rPr>
        <w:t xml:space="preserve"> Алиев Э.Р.</w:t>
      </w:r>
      <w:r w:rsidRPr="003C17BF">
        <w:rPr>
          <w:sz w:val="26"/>
          <w:szCs w:val="26"/>
        </w:rPr>
        <w:t xml:space="preserve">, являясь водителем транспортного средства </w:t>
      </w:r>
      <w:r>
        <w:rPr>
          <w:sz w:val="26"/>
          <w:szCs w:val="26"/>
        </w:rPr>
        <w:t>*</w:t>
      </w:r>
      <w:r w:rsidRPr="003C17BF"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>*</w:t>
      </w:r>
      <w:r w:rsidRPr="003C17BF">
        <w:rPr>
          <w:sz w:val="26"/>
          <w:szCs w:val="26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не имея права управления транспортными средствами, если такие действия не содержат уголовно наказуемого деяния, чем нарушил п. 2.3.2 Правил дорожного движения РФ.  </w:t>
      </w:r>
    </w:p>
    <w:p w:rsidR="00C709EA" w:rsidRPr="003C17BF" w:rsidP="002F4A0F">
      <w:pPr>
        <w:spacing w:line="0" w:lineRule="atLeast"/>
        <w:ind w:right="22"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>В</w:t>
      </w:r>
      <w:r w:rsidR="00D33C05">
        <w:rPr>
          <w:sz w:val="26"/>
          <w:szCs w:val="26"/>
        </w:rPr>
        <w:t xml:space="preserve"> судебном заседании Алиев Э.Р.</w:t>
      </w:r>
      <w:r w:rsidRPr="003C17BF">
        <w:rPr>
          <w:sz w:val="26"/>
          <w:szCs w:val="26"/>
        </w:rPr>
        <w:t xml:space="preserve"> вину в совершении административного правонарушения признал, ходатайств не заявлял.</w:t>
      </w:r>
    </w:p>
    <w:p w:rsidR="00C709EA" w:rsidRPr="003C17BF" w:rsidP="002F4A0F">
      <w:pPr>
        <w:spacing w:line="0" w:lineRule="atLeast"/>
        <w:ind w:right="22"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 xml:space="preserve">Изучив материалы дела, заслушав Алиева </w:t>
      </w:r>
      <w:r w:rsidR="00D33C05">
        <w:rPr>
          <w:sz w:val="26"/>
          <w:szCs w:val="26"/>
        </w:rPr>
        <w:t>Э.Р.</w:t>
      </w:r>
      <w:r w:rsidRPr="003C17BF">
        <w:rPr>
          <w:sz w:val="26"/>
          <w:szCs w:val="26"/>
        </w:rPr>
        <w:t xml:space="preserve">, суд приходит к следующим выводам. </w:t>
      </w:r>
    </w:p>
    <w:p w:rsidR="00D33C05" w:rsidP="00D33C05">
      <w:pPr>
        <w:spacing w:line="0" w:lineRule="atLeast"/>
        <w:ind w:right="22"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 xml:space="preserve">Согласно ч. 2 ст. 12.26 Кодекса Российской Федерации об административных правонарушениях </w:t>
      </w:r>
      <w:r>
        <w:rPr>
          <w:sz w:val="26"/>
          <w:szCs w:val="26"/>
        </w:rPr>
        <w:t>н</w:t>
      </w:r>
      <w:r w:rsidRPr="00D33C05">
        <w:rPr>
          <w:sz w:val="26"/>
          <w:szCs w:val="26"/>
        </w:rPr>
        <w:t>евыполнение водителем транспортного средства, не имеющим</w:t>
      </w:r>
      <w:r>
        <w:rPr>
          <w:sz w:val="26"/>
          <w:szCs w:val="26"/>
        </w:rPr>
        <w:t xml:space="preserve"> права управления транспортными </w:t>
      </w:r>
      <w:r w:rsidRPr="00D33C05">
        <w:rPr>
          <w:sz w:val="26"/>
          <w:szCs w:val="26"/>
        </w:rPr>
        <w:t>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>
        <w:rPr>
          <w:sz w:val="26"/>
          <w:szCs w:val="26"/>
        </w:rPr>
        <w:t xml:space="preserve">т уголовно наказуемого деяния, </w:t>
      </w:r>
      <w:r w:rsidRPr="00D33C05">
        <w:rPr>
          <w:sz w:val="26"/>
          <w:szCs w:val="26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сорока пяти тысяч рублей.</w:t>
      </w:r>
    </w:p>
    <w:p w:rsidR="00C709EA" w:rsidRPr="003C17BF" w:rsidP="002F4A0F">
      <w:pPr>
        <w:spacing w:line="0" w:lineRule="atLeast"/>
        <w:ind w:right="22"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 xml:space="preserve">В соответствии с п. 2.3.2 Правил дорожного движения, утвержденных Постановлением Правительства Российской Федерации от 23 октября 1993 года </w:t>
      </w:r>
      <w:r w:rsidR="00D33C05">
        <w:rPr>
          <w:sz w:val="26"/>
          <w:szCs w:val="26"/>
        </w:rPr>
        <w:t xml:space="preserve">                        </w:t>
      </w:r>
      <w:r w:rsidRPr="003C17BF">
        <w:rPr>
          <w:sz w:val="26"/>
          <w:szCs w:val="26"/>
        </w:rPr>
        <w:t>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709EA" w:rsidRPr="003C17BF" w:rsidP="002F4A0F">
      <w:pPr>
        <w:spacing w:line="0" w:lineRule="atLeast"/>
        <w:ind w:right="22"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 xml:space="preserve">В соответствии со статьей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средством, а также освидетельствованию на состояние алкогольного опьянения в порядке, установленном указанной статьей и Правилами.           </w:t>
      </w:r>
    </w:p>
    <w:p w:rsidR="00C709EA" w:rsidRPr="003C17BF" w:rsidP="002F4A0F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3C17BF">
        <w:rPr>
          <w:color w:val="000000"/>
          <w:sz w:val="26"/>
          <w:szCs w:val="26"/>
        </w:rPr>
        <w:t>При отказе от прохождения освидетельствования на состояние алкогольного опьянения, а равно при наличии достаточных оснований полагать, что лицо находится в состоянии опьянения, указанное лицо подлежит направлению на медицинское освидетельствование на состояние опьянения.</w:t>
      </w:r>
    </w:p>
    <w:p w:rsidR="00C709EA" w:rsidRPr="003C17BF" w:rsidP="002F4A0F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>Постановлением Правительства РФ от 21.10.2022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согласно пункту 2 которых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неустойчивость позы, нарушение речи, резкое изменение окраски кожных покровов лица, поведение, не соответствующее обстановке.</w:t>
      </w:r>
    </w:p>
    <w:p w:rsidR="00C709EA" w:rsidRPr="003C17BF" w:rsidP="002F4A0F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>Направлению на медицинское освидетельствование на состояние опьянения водитель транспортного средства подлежит, в том числе,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(пп. «в» п. 8 данных Правил).</w:t>
      </w:r>
    </w:p>
    <w:p w:rsidR="00C709EA" w:rsidRPr="003C17BF" w:rsidP="002F4A0F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или с применением видеозаписи.</w:t>
      </w:r>
    </w:p>
    <w:p w:rsidR="00C709EA" w:rsidRPr="003C17BF" w:rsidP="002F4A0F">
      <w:pPr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>В обос</w:t>
      </w:r>
      <w:r w:rsidR="00D33C05">
        <w:rPr>
          <w:sz w:val="26"/>
          <w:szCs w:val="26"/>
        </w:rPr>
        <w:t>нование виновности Алиева Э.Р.</w:t>
      </w:r>
      <w:r w:rsidRPr="003C17BF">
        <w:rPr>
          <w:sz w:val="26"/>
          <w:szCs w:val="26"/>
        </w:rPr>
        <w:t xml:space="preserve"> в совершении правонарушения, представлены следующие доказательства:</w:t>
      </w:r>
    </w:p>
    <w:p w:rsidR="00C709EA" w:rsidRPr="003C17BF" w:rsidP="008E2F01">
      <w:pPr>
        <w:spacing w:line="0" w:lineRule="atLeast"/>
        <w:ind w:right="22"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 xml:space="preserve"> - </w:t>
      </w:r>
      <w:r w:rsidR="008E2F01">
        <w:rPr>
          <w:sz w:val="26"/>
          <w:szCs w:val="26"/>
        </w:rPr>
        <w:t>*</w:t>
      </w:r>
    </w:p>
    <w:p w:rsidR="00C709EA" w:rsidRPr="003C17BF" w:rsidP="002F4A0F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3C17BF">
        <w:rPr>
          <w:color w:val="000000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CD12F3">
        <w:rPr>
          <w:sz w:val="26"/>
          <w:szCs w:val="26"/>
        </w:rPr>
        <w:t>Алиева Э.Р.</w:t>
      </w:r>
      <w:r w:rsidRPr="003C17BF">
        <w:rPr>
          <w:color w:val="000000"/>
          <w:sz w:val="26"/>
          <w:szCs w:val="26"/>
        </w:rPr>
        <w:t xml:space="preserve"> состава инкриминируемого административного правонарушения.</w:t>
      </w:r>
    </w:p>
    <w:p w:rsidR="00C709EA" w:rsidRPr="003C17BF" w:rsidP="002F4A0F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 xml:space="preserve">Таким образом, совокупность доказательств позволяет суду сделать </w:t>
      </w:r>
      <w:r w:rsidR="00CD12F3">
        <w:rPr>
          <w:sz w:val="26"/>
          <w:szCs w:val="26"/>
        </w:rPr>
        <w:t>вывод о виновности Алиева Э.Р.</w:t>
      </w:r>
      <w:r w:rsidRPr="003C17BF">
        <w:rPr>
          <w:sz w:val="26"/>
          <w:szCs w:val="26"/>
        </w:rPr>
        <w:t xml:space="preserve"> в совершении административного правонарушения, предусмотренного ч. 2 ст. 12.26 КоАП РФ.</w:t>
      </w:r>
    </w:p>
    <w:p w:rsidR="00C709EA" w:rsidRPr="003C17BF" w:rsidP="002F4A0F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 xml:space="preserve">Действия Алиева </w:t>
      </w:r>
      <w:r w:rsidR="00CD12F3">
        <w:rPr>
          <w:sz w:val="26"/>
          <w:szCs w:val="26"/>
        </w:rPr>
        <w:t>Э.Р.</w:t>
      </w:r>
      <w:r w:rsidRPr="003C17BF">
        <w:rPr>
          <w:sz w:val="26"/>
          <w:szCs w:val="26"/>
        </w:rPr>
        <w:t xml:space="preserve"> суд квалифицирует по ч. 2 ст. 12.26 КоАП РФ –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C709EA" w:rsidRPr="003C17BF" w:rsidP="00010FB2">
      <w:pPr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C709EA" w:rsidRPr="003C17BF" w:rsidP="00010FB2">
      <w:pPr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 w:rsidR="00C709EA" w:rsidRPr="003C17BF" w:rsidP="00010FB2">
      <w:pPr>
        <w:widowControl w:val="0"/>
        <w:spacing w:line="216" w:lineRule="auto"/>
        <w:ind w:firstLine="709"/>
        <w:contextualSpacing/>
        <w:jc w:val="both"/>
        <w:rPr>
          <w:rFonts w:eastAsia="Courier New"/>
          <w:sz w:val="26"/>
          <w:szCs w:val="26"/>
        </w:rPr>
      </w:pPr>
      <w:r w:rsidRPr="003C17BF">
        <w:rPr>
          <w:rFonts w:eastAsia="Courier New"/>
          <w:sz w:val="26"/>
          <w:szCs w:val="26"/>
        </w:rPr>
        <w:t xml:space="preserve">Обстоятельств, смягчающих административную ответственность в соответствии со ст. 4.2 </w:t>
      </w:r>
      <w:r w:rsidRPr="003C17BF">
        <w:rPr>
          <w:rFonts w:eastAsia="Courier New"/>
          <w:color w:val="000000"/>
          <w:sz w:val="26"/>
          <w:szCs w:val="26"/>
        </w:rPr>
        <w:t>Кодекса Российской Федерации об административных правонарушениях,</w:t>
      </w:r>
      <w:r w:rsidRPr="003C17BF">
        <w:rPr>
          <w:rFonts w:eastAsia="Courier New"/>
          <w:sz w:val="26"/>
          <w:szCs w:val="26"/>
        </w:rPr>
        <w:t xml:space="preserve"> мировым судьей не установлено.</w:t>
      </w:r>
    </w:p>
    <w:p w:rsidR="00C709EA" w:rsidRPr="003C17BF" w:rsidP="00010FB2">
      <w:pPr>
        <w:widowControl w:val="0"/>
        <w:spacing w:line="216" w:lineRule="auto"/>
        <w:ind w:firstLine="709"/>
        <w:contextualSpacing/>
        <w:jc w:val="both"/>
        <w:rPr>
          <w:rFonts w:eastAsia="Courier New"/>
          <w:color w:val="000000"/>
          <w:sz w:val="26"/>
          <w:szCs w:val="26"/>
        </w:rPr>
      </w:pPr>
      <w:r w:rsidRPr="003C17BF">
        <w:rPr>
          <w:rFonts w:eastAsia="Courier New"/>
          <w:color w:val="000000"/>
          <w:sz w:val="26"/>
          <w:szCs w:val="26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</w:t>
      </w:r>
      <w:r w:rsidRPr="003C17BF">
        <w:rPr>
          <w:rFonts w:eastAsia="Courier New"/>
          <w:sz w:val="26"/>
          <w:szCs w:val="26"/>
        </w:rPr>
        <w:t xml:space="preserve"> мировым судьей не установлено</w:t>
      </w:r>
      <w:r w:rsidRPr="003C17BF">
        <w:rPr>
          <w:rFonts w:eastAsia="Courier New"/>
          <w:color w:val="000000"/>
          <w:sz w:val="26"/>
          <w:szCs w:val="26"/>
        </w:rPr>
        <w:t>.</w:t>
      </w:r>
    </w:p>
    <w:p w:rsidR="00C709EA" w:rsidRPr="003C17BF" w:rsidP="00010FB2">
      <w:pPr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 w:rsidR="00C709EA" w:rsidRPr="003C17BF" w:rsidP="00010FB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>Обстоятельства, препятствующие применению административного наказания в виде административного ареста, указанные в ч.2 ст.3.9 КоАП РФ, судом не установлены.</w:t>
      </w:r>
    </w:p>
    <w:p w:rsidR="00C709EA" w:rsidRPr="003C17BF" w:rsidP="002F4A0F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 xml:space="preserve">На основании изложенного и руководствуясь ст.ст. 29.9-29.11 КоАП РФ, </w:t>
      </w:r>
    </w:p>
    <w:p w:rsidR="00C709EA" w:rsidRPr="002F4A0F" w:rsidP="002F4A0F">
      <w:pPr>
        <w:spacing w:line="0" w:lineRule="atLeast"/>
        <w:ind w:firstLine="709"/>
        <w:contextualSpacing/>
        <w:jc w:val="both"/>
        <w:rPr>
          <w:sz w:val="10"/>
          <w:szCs w:val="10"/>
        </w:rPr>
      </w:pPr>
    </w:p>
    <w:p w:rsidR="00C709EA" w:rsidRPr="003C17BF" w:rsidP="002F4A0F">
      <w:pPr>
        <w:spacing w:line="0" w:lineRule="atLeast"/>
        <w:ind w:firstLine="709"/>
        <w:contextualSpacing/>
        <w:jc w:val="center"/>
        <w:rPr>
          <w:sz w:val="26"/>
          <w:szCs w:val="26"/>
        </w:rPr>
      </w:pPr>
      <w:r w:rsidRPr="003C17BF">
        <w:rPr>
          <w:sz w:val="26"/>
          <w:szCs w:val="26"/>
        </w:rPr>
        <w:t>П О С Т А Н О В И Л:</w:t>
      </w:r>
    </w:p>
    <w:p w:rsidR="00C709EA" w:rsidRPr="002F4A0F" w:rsidP="002F4A0F">
      <w:pPr>
        <w:spacing w:line="0" w:lineRule="atLeast"/>
        <w:ind w:firstLine="709"/>
        <w:contextualSpacing/>
        <w:jc w:val="center"/>
        <w:rPr>
          <w:sz w:val="10"/>
          <w:szCs w:val="10"/>
        </w:rPr>
      </w:pPr>
    </w:p>
    <w:p w:rsidR="00C709EA" w:rsidRPr="003C17BF" w:rsidP="002F4A0F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3C17BF">
        <w:rPr>
          <w:color w:val="000000"/>
          <w:sz w:val="26"/>
          <w:szCs w:val="26"/>
        </w:rPr>
        <w:t xml:space="preserve">Алиева </w:t>
      </w:r>
      <w:r w:rsidR="008E2F01">
        <w:rPr>
          <w:color w:val="000000"/>
          <w:sz w:val="26"/>
          <w:szCs w:val="26"/>
        </w:rPr>
        <w:t>Э.Р.о</w:t>
      </w:r>
      <w:r w:rsidRPr="003C17BF">
        <w:rPr>
          <w:sz w:val="26"/>
          <w:szCs w:val="26"/>
        </w:rPr>
        <w:t xml:space="preserve"> признать виновным в совершении административного правонарушения, пред</w:t>
      </w:r>
      <w:r w:rsidR="00D33C05">
        <w:rPr>
          <w:sz w:val="26"/>
          <w:szCs w:val="26"/>
        </w:rPr>
        <w:t>усмотренного частью 2 статьи</w:t>
      </w:r>
      <w:r w:rsidRPr="003C17BF">
        <w:rPr>
          <w:sz w:val="26"/>
          <w:szCs w:val="26"/>
        </w:rPr>
        <w:t xml:space="preserve"> 12.26 Кодекса Российской Федерации об административных правонарушениях и подвергнуть наказанию в виде административного ареста сроком на 10 (десять) суток.    </w:t>
      </w:r>
    </w:p>
    <w:p w:rsidR="00C709EA" w:rsidRPr="003C17BF" w:rsidP="002F4A0F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 xml:space="preserve">Срок административного ареста исчислять с момента административного задержания, то есть с </w:t>
      </w:r>
      <w:r w:rsidR="008E2F01">
        <w:rPr>
          <w:sz w:val="26"/>
          <w:szCs w:val="26"/>
        </w:rPr>
        <w:t>*</w:t>
      </w:r>
      <w:r w:rsidRPr="003C17BF">
        <w:rPr>
          <w:sz w:val="26"/>
          <w:szCs w:val="26"/>
        </w:rPr>
        <w:t xml:space="preserve"> года. </w:t>
      </w:r>
    </w:p>
    <w:p w:rsidR="00C709EA" w:rsidRPr="003C17BF" w:rsidP="002F4A0F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>Постановление подлежит немедленному исполнению.</w:t>
      </w:r>
    </w:p>
    <w:p w:rsidR="0081383D" w:rsidRPr="003C17BF" w:rsidP="00010FB2">
      <w:pPr>
        <w:widowControl w:val="0"/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3C17BF" w:rsidR="00E162DB">
        <w:rPr>
          <w:sz w:val="26"/>
          <w:szCs w:val="26"/>
        </w:rPr>
        <w:t>10 дней</w:t>
      </w:r>
      <w:r w:rsidRPr="003C17BF">
        <w:rPr>
          <w:sz w:val="26"/>
          <w:szCs w:val="26"/>
        </w:rPr>
        <w:t xml:space="preserve"> со дня вручения или получения копии постановления.</w:t>
      </w:r>
    </w:p>
    <w:p w:rsidR="00010FB2" w:rsidRPr="002F4A0F" w:rsidP="002F4A0F">
      <w:pPr>
        <w:widowControl w:val="0"/>
        <w:spacing w:line="0" w:lineRule="atLeast"/>
        <w:ind w:firstLine="708"/>
        <w:contextualSpacing/>
        <w:jc w:val="both"/>
        <w:rPr>
          <w:sz w:val="10"/>
          <w:szCs w:val="10"/>
        </w:rPr>
      </w:pPr>
    </w:p>
    <w:p w:rsidR="0081383D" w:rsidRPr="002F4A0F" w:rsidP="002F4A0F">
      <w:pPr>
        <w:widowControl w:val="0"/>
        <w:spacing w:line="0" w:lineRule="atLeast"/>
        <w:contextualSpacing/>
        <w:jc w:val="both"/>
        <w:rPr>
          <w:sz w:val="26"/>
          <w:szCs w:val="26"/>
        </w:rPr>
      </w:pPr>
      <w:r w:rsidRPr="003C17BF">
        <w:rPr>
          <w:sz w:val="26"/>
          <w:szCs w:val="26"/>
        </w:rPr>
        <w:t>Мировой судья</w:t>
      </w:r>
      <w:r w:rsidRPr="003C17BF">
        <w:rPr>
          <w:sz w:val="26"/>
          <w:szCs w:val="26"/>
        </w:rPr>
        <w:tab/>
      </w:r>
      <w:r w:rsidRPr="003C17BF">
        <w:rPr>
          <w:sz w:val="26"/>
          <w:szCs w:val="26"/>
        </w:rPr>
        <w:tab/>
      </w:r>
      <w:r w:rsidRPr="003C17BF">
        <w:rPr>
          <w:sz w:val="26"/>
          <w:szCs w:val="26"/>
        </w:rPr>
        <w:tab/>
      </w:r>
      <w:r w:rsidRPr="003C17BF">
        <w:rPr>
          <w:sz w:val="26"/>
          <w:szCs w:val="26"/>
        </w:rPr>
        <w:tab/>
      </w:r>
      <w:r w:rsidR="002F4A0F">
        <w:rPr>
          <w:sz w:val="26"/>
          <w:szCs w:val="26"/>
        </w:rPr>
        <w:t xml:space="preserve">            /подпись/</w:t>
      </w:r>
      <w:r w:rsidR="002F4A0F">
        <w:rPr>
          <w:sz w:val="26"/>
          <w:szCs w:val="26"/>
        </w:rPr>
        <w:tab/>
      </w:r>
      <w:r w:rsidR="002F4A0F">
        <w:rPr>
          <w:sz w:val="26"/>
          <w:szCs w:val="26"/>
        </w:rPr>
        <w:tab/>
      </w:r>
      <w:r w:rsidR="002F4A0F">
        <w:rPr>
          <w:sz w:val="26"/>
          <w:szCs w:val="26"/>
        </w:rPr>
        <w:tab/>
        <w:t xml:space="preserve">      </w:t>
      </w:r>
      <w:r w:rsidRPr="003C17BF">
        <w:rPr>
          <w:sz w:val="26"/>
          <w:szCs w:val="26"/>
        </w:rPr>
        <w:t>А.Ю. Панков</w:t>
      </w:r>
    </w:p>
    <w:p w:rsidR="00DC0929" w:rsidRPr="002F4A0F" w:rsidP="002F4A0F">
      <w:pPr>
        <w:widowControl w:val="0"/>
        <w:autoSpaceDN w:val="0"/>
        <w:spacing w:line="0" w:lineRule="atLeast"/>
        <w:contextualSpacing/>
        <w:jc w:val="both"/>
        <w:rPr>
          <w:sz w:val="22"/>
          <w:szCs w:val="22"/>
        </w:rPr>
      </w:pPr>
    </w:p>
    <w:sectPr w:rsidSect="002F4A0F">
      <w:headerReference w:type="default" r:id="rId4"/>
      <w:footerReference w:type="default" r:id="rId5"/>
      <w:pgSz w:w="11906" w:h="16838"/>
      <w:pgMar w:top="238" w:right="851" w:bottom="24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2337520"/>
      <w:docPartObj>
        <w:docPartGallery w:val="Page Numbers (Bottom of Page)"/>
        <w:docPartUnique/>
      </w:docPartObj>
    </w:sdtPr>
    <w:sdtContent>
      <w:p w:rsidR="002F4A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F01">
          <w:rPr>
            <w:noProof/>
          </w:rPr>
          <w:t>3</w:t>
        </w:r>
        <w:r>
          <w:fldChar w:fldCharType="end"/>
        </w:r>
      </w:p>
    </w:sdtContent>
  </w:sdt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0FB2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13DC6"/>
    <w:rsid w:val="001476AC"/>
    <w:rsid w:val="00153A2B"/>
    <w:rsid w:val="00166B61"/>
    <w:rsid w:val="00172840"/>
    <w:rsid w:val="00182F07"/>
    <w:rsid w:val="00197FCE"/>
    <w:rsid w:val="001A5FA9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D405E"/>
    <w:rsid w:val="002F4A0F"/>
    <w:rsid w:val="002F6E8A"/>
    <w:rsid w:val="00323AA9"/>
    <w:rsid w:val="00362393"/>
    <w:rsid w:val="00370417"/>
    <w:rsid w:val="003C17BF"/>
    <w:rsid w:val="003C6B41"/>
    <w:rsid w:val="003D11CD"/>
    <w:rsid w:val="003D1EE0"/>
    <w:rsid w:val="003E3928"/>
    <w:rsid w:val="00402F8D"/>
    <w:rsid w:val="00431E00"/>
    <w:rsid w:val="004422E9"/>
    <w:rsid w:val="004511E2"/>
    <w:rsid w:val="004674D3"/>
    <w:rsid w:val="00476AC4"/>
    <w:rsid w:val="00486F65"/>
    <w:rsid w:val="004B0163"/>
    <w:rsid w:val="004B2046"/>
    <w:rsid w:val="004D3325"/>
    <w:rsid w:val="004D6DE2"/>
    <w:rsid w:val="00516B54"/>
    <w:rsid w:val="00523CDB"/>
    <w:rsid w:val="00530A06"/>
    <w:rsid w:val="00531C3F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5D63B8"/>
    <w:rsid w:val="005E557E"/>
    <w:rsid w:val="006058F4"/>
    <w:rsid w:val="00614EA6"/>
    <w:rsid w:val="00626CEF"/>
    <w:rsid w:val="00631F8D"/>
    <w:rsid w:val="006331E3"/>
    <w:rsid w:val="0064765E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770E"/>
    <w:rsid w:val="0079771D"/>
    <w:rsid w:val="007B04CD"/>
    <w:rsid w:val="007B29FF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24D9"/>
    <w:rsid w:val="008A33C7"/>
    <w:rsid w:val="008C3C91"/>
    <w:rsid w:val="008C4527"/>
    <w:rsid w:val="008C6DEF"/>
    <w:rsid w:val="008D4A2B"/>
    <w:rsid w:val="008E2F01"/>
    <w:rsid w:val="008E65A9"/>
    <w:rsid w:val="008F4192"/>
    <w:rsid w:val="009047C6"/>
    <w:rsid w:val="00930202"/>
    <w:rsid w:val="00941DDE"/>
    <w:rsid w:val="00950EBC"/>
    <w:rsid w:val="009C5616"/>
    <w:rsid w:val="00A01710"/>
    <w:rsid w:val="00A502B5"/>
    <w:rsid w:val="00A54D2D"/>
    <w:rsid w:val="00A91075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83CE2"/>
    <w:rsid w:val="00B851D2"/>
    <w:rsid w:val="00B921AF"/>
    <w:rsid w:val="00BC2E59"/>
    <w:rsid w:val="00BC658B"/>
    <w:rsid w:val="00BD3407"/>
    <w:rsid w:val="00C056A0"/>
    <w:rsid w:val="00C1157C"/>
    <w:rsid w:val="00C34040"/>
    <w:rsid w:val="00C709EA"/>
    <w:rsid w:val="00C75973"/>
    <w:rsid w:val="00CB3181"/>
    <w:rsid w:val="00CD12F3"/>
    <w:rsid w:val="00CF0A9B"/>
    <w:rsid w:val="00CF0C38"/>
    <w:rsid w:val="00D05236"/>
    <w:rsid w:val="00D17F2B"/>
    <w:rsid w:val="00D33C05"/>
    <w:rsid w:val="00D64649"/>
    <w:rsid w:val="00D65F02"/>
    <w:rsid w:val="00DC0929"/>
    <w:rsid w:val="00DD3751"/>
    <w:rsid w:val="00DE01F2"/>
    <w:rsid w:val="00DE085B"/>
    <w:rsid w:val="00DE768E"/>
    <w:rsid w:val="00DF199D"/>
    <w:rsid w:val="00E12323"/>
    <w:rsid w:val="00E162DB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1CA88DC-B1AC-4E02-A2A1-CF8D1B45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2F4A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